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E6" w:rsidRPr="002533E6" w:rsidRDefault="00B82776" w:rsidP="00F745BD">
      <w:pPr>
        <w:ind w:left="990"/>
        <w:rPr>
          <w:b/>
          <w:sz w:val="28"/>
          <w:szCs w:val="28"/>
        </w:rPr>
      </w:pPr>
      <w:r w:rsidRPr="002533E6">
        <w:rPr>
          <w:b/>
          <w:sz w:val="28"/>
          <w:szCs w:val="28"/>
        </w:rPr>
        <w:t>ELECTION SERVICES:</w:t>
      </w:r>
      <w:r w:rsidR="00D1316C" w:rsidRPr="002533E6">
        <w:rPr>
          <w:b/>
          <w:sz w:val="28"/>
          <w:szCs w:val="28"/>
        </w:rPr>
        <w:t xml:space="preserve"> </w:t>
      </w:r>
    </w:p>
    <w:p w:rsidR="00664017" w:rsidRPr="002533E6" w:rsidRDefault="00D1316C" w:rsidP="00F745BD">
      <w:pPr>
        <w:ind w:left="990"/>
        <w:rPr>
          <w:b/>
          <w:sz w:val="28"/>
          <w:szCs w:val="28"/>
        </w:rPr>
      </w:pPr>
      <w:r w:rsidRPr="002533E6">
        <w:rPr>
          <w:b/>
          <w:sz w:val="28"/>
          <w:szCs w:val="28"/>
        </w:rPr>
        <w:t xml:space="preserve">Ombudsman and </w:t>
      </w:r>
      <w:r w:rsidR="00B82776" w:rsidRPr="002533E6">
        <w:rPr>
          <w:b/>
          <w:sz w:val="28"/>
          <w:szCs w:val="28"/>
        </w:rPr>
        <w:t xml:space="preserve">Department of Election Services for HOA </w:t>
      </w:r>
      <w:r w:rsidR="00A110EC" w:rsidRPr="002533E6">
        <w:rPr>
          <w:b/>
          <w:sz w:val="28"/>
          <w:szCs w:val="28"/>
        </w:rPr>
        <w:t xml:space="preserve">and Condo </w:t>
      </w:r>
      <w:r w:rsidR="00B82776" w:rsidRPr="002533E6">
        <w:rPr>
          <w:b/>
          <w:sz w:val="28"/>
          <w:szCs w:val="28"/>
        </w:rPr>
        <w:t>Elections</w:t>
      </w:r>
    </w:p>
    <w:p w:rsidR="00A110EC" w:rsidRPr="002533E6" w:rsidRDefault="00A110EC" w:rsidP="00F745BD">
      <w:pPr>
        <w:ind w:left="990"/>
        <w:rPr>
          <w:b/>
          <w:sz w:val="28"/>
          <w:szCs w:val="28"/>
        </w:rPr>
      </w:pPr>
      <w:proofErr w:type="gramStart"/>
      <w:r w:rsidRPr="002533E6">
        <w:rPr>
          <w:b/>
          <w:sz w:val="28"/>
          <w:szCs w:val="28"/>
        </w:rPr>
        <w:t xml:space="preserve">The Office of the Common Interest Community Ombudsman is authorized “To provide </w:t>
      </w:r>
      <w:r w:rsidRPr="002533E6">
        <w:rPr>
          <w:b/>
          <w:i/>
          <w:sz w:val="28"/>
          <w:szCs w:val="28"/>
        </w:rPr>
        <w:t>monitors</w:t>
      </w:r>
      <w:r w:rsidRPr="002533E6">
        <w:rPr>
          <w:b/>
          <w:sz w:val="28"/>
          <w:szCs w:val="28"/>
        </w:rPr>
        <w:t xml:space="preserve"> and </w:t>
      </w:r>
      <w:r w:rsidRPr="002533E6">
        <w:rPr>
          <w:b/>
          <w:i/>
          <w:sz w:val="28"/>
          <w:szCs w:val="28"/>
        </w:rPr>
        <w:t>vote counting</w:t>
      </w:r>
      <w:r w:rsidRPr="002533E6">
        <w:rPr>
          <w:b/>
          <w:sz w:val="28"/>
          <w:szCs w:val="28"/>
        </w:rPr>
        <w:t xml:space="preserve"> services to common interest community associations, intended to result in fair elections for members and officers of a common interest community association when 15% of the total voting interests in a common interest community association, or six unit owners, whichever is greater </w:t>
      </w:r>
      <w:r w:rsidRPr="002533E6">
        <w:rPr>
          <w:b/>
          <w:i/>
          <w:sz w:val="28"/>
          <w:szCs w:val="28"/>
        </w:rPr>
        <w:t>petition</w:t>
      </w:r>
      <w:r w:rsidRPr="002533E6">
        <w:rPr>
          <w:b/>
          <w:sz w:val="28"/>
          <w:szCs w:val="28"/>
        </w:rPr>
        <w:t xml:space="preserve"> the Ombudsperson to do so.” </w:t>
      </w:r>
      <w:hyperlink r:id="rId5" w:history="1">
        <w:r w:rsidRPr="003C1C73">
          <w:rPr>
            <w:rStyle w:val="Hyperlink"/>
            <w:b/>
            <w:sz w:val="28"/>
            <w:szCs w:val="28"/>
          </w:rPr>
          <w:t xml:space="preserve">29 </w:t>
        </w:r>
        <w:r w:rsidRPr="003C1C73">
          <w:rPr>
            <w:rStyle w:val="Hyperlink"/>
            <w:b/>
            <w:i/>
            <w:sz w:val="28"/>
            <w:szCs w:val="28"/>
          </w:rPr>
          <w:t>Del. C</w:t>
        </w:r>
        <w:r w:rsidRPr="003C1C73">
          <w:rPr>
            <w:rStyle w:val="Hyperlink"/>
            <w:b/>
            <w:sz w:val="28"/>
            <w:szCs w:val="28"/>
          </w:rPr>
          <w:t>. §2544 (6).</w:t>
        </w:r>
      </w:hyperlink>
      <w:proofErr w:type="gramEnd"/>
    </w:p>
    <w:p w:rsidR="00A110EC" w:rsidRPr="002533E6" w:rsidRDefault="00A110EC" w:rsidP="00F745BD">
      <w:pPr>
        <w:ind w:left="990"/>
        <w:rPr>
          <w:b/>
          <w:sz w:val="28"/>
          <w:szCs w:val="28"/>
        </w:rPr>
      </w:pPr>
      <w:r w:rsidRPr="002533E6">
        <w:rPr>
          <w:b/>
          <w:sz w:val="28"/>
          <w:szCs w:val="28"/>
        </w:rPr>
        <w:t xml:space="preserve">The statute requires us to “establish fees for election monitoring; vote counting or other services. The amount charged for each fee imposed must approximate and reasonably reflect all costs necessary to defray the expenses of providing the services. </w:t>
      </w:r>
      <w:hyperlink r:id="rId6" w:history="1">
        <w:proofErr w:type="gramStart"/>
        <w:r w:rsidRPr="003C1C73">
          <w:rPr>
            <w:rStyle w:val="Hyperlink"/>
            <w:b/>
            <w:sz w:val="28"/>
            <w:szCs w:val="28"/>
          </w:rPr>
          <w:t>29</w:t>
        </w:r>
        <w:proofErr w:type="gramEnd"/>
        <w:r w:rsidRPr="003C1C73">
          <w:rPr>
            <w:rStyle w:val="Hyperlink"/>
            <w:b/>
            <w:sz w:val="28"/>
            <w:szCs w:val="28"/>
          </w:rPr>
          <w:t xml:space="preserve"> </w:t>
        </w:r>
        <w:r w:rsidRPr="003C1C73">
          <w:rPr>
            <w:rStyle w:val="Hyperlink"/>
            <w:b/>
            <w:i/>
            <w:sz w:val="28"/>
            <w:szCs w:val="28"/>
          </w:rPr>
          <w:t>Del. C</w:t>
        </w:r>
        <w:r w:rsidRPr="003C1C73">
          <w:rPr>
            <w:rStyle w:val="Hyperlink"/>
            <w:b/>
            <w:sz w:val="28"/>
            <w:szCs w:val="28"/>
          </w:rPr>
          <w:t>. §2544 (15)</w:t>
        </w:r>
      </w:hyperlink>
      <w:r w:rsidRPr="002533E6">
        <w:rPr>
          <w:b/>
          <w:sz w:val="28"/>
          <w:szCs w:val="28"/>
        </w:rPr>
        <w:t>.</w:t>
      </w:r>
    </w:p>
    <w:p w:rsidR="00A110EC" w:rsidRPr="002533E6" w:rsidRDefault="00A110EC" w:rsidP="00F745BD">
      <w:pPr>
        <w:ind w:left="990"/>
        <w:rPr>
          <w:b/>
          <w:sz w:val="28"/>
          <w:szCs w:val="28"/>
        </w:rPr>
      </w:pPr>
    </w:p>
    <w:p w:rsidR="00A110EC" w:rsidRPr="002533E6" w:rsidRDefault="00A110EC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Since the statue authorizes us to “provide” “monitors and vote counting” services, we arranged with the State and County Departments of Election to provide election services.  </w:t>
      </w:r>
    </w:p>
    <w:p w:rsidR="00A110EC" w:rsidRPr="002533E6" w:rsidRDefault="00A110EC" w:rsidP="00F745BD">
      <w:pPr>
        <w:ind w:left="990"/>
        <w:rPr>
          <w:b/>
          <w:sz w:val="28"/>
          <w:szCs w:val="28"/>
        </w:rPr>
      </w:pPr>
      <w:r w:rsidRPr="002533E6">
        <w:rPr>
          <w:b/>
          <w:sz w:val="28"/>
          <w:szCs w:val="28"/>
        </w:rPr>
        <w:t xml:space="preserve">To </w:t>
      </w:r>
      <w:r w:rsidR="00CB79BE" w:rsidRPr="002533E6">
        <w:rPr>
          <w:b/>
          <w:sz w:val="28"/>
          <w:szCs w:val="28"/>
        </w:rPr>
        <w:t xml:space="preserve">Request </w:t>
      </w:r>
      <w:r w:rsidR="00900F65" w:rsidRPr="002533E6">
        <w:rPr>
          <w:b/>
          <w:sz w:val="28"/>
          <w:szCs w:val="28"/>
        </w:rPr>
        <w:t>Election Services</w:t>
      </w:r>
      <w:r w:rsidRPr="002533E6">
        <w:rPr>
          <w:b/>
          <w:sz w:val="28"/>
          <w:szCs w:val="28"/>
        </w:rPr>
        <w:t>:</w:t>
      </w:r>
    </w:p>
    <w:p w:rsidR="002533E6" w:rsidRDefault="00A110EC" w:rsidP="00F745BD">
      <w:pPr>
        <w:pStyle w:val="ListParagraph"/>
        <w:numPr>
          <w:ilvl w:val="0"/>
          <w:numId w:val="4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Communities must petition the Ombudsman’s Office</w:t>
      </w:r>
      <w:r w:rsidR="002533E6">
        <w:rPr>
          <w:sz w:val="28"/>
          <w:szCs w:val="28"/>
        </w:rPr>
        <w:t xml:space="preserve"> with</w:t>
      </w:r>
      <w:r w:rsidRPr="002533E6">
        <w:rPr>
          <w:sz w:val="28"/>
          <w:szCs w:val="28"/>
        </w:rPr>
        <w:t xml:space="preserve"> signatures </w:t>
      </w:r>
      <w:r w:rsidR="002533E6">
        <w:rPr>
          <w:sz w:val="28"/>
          <w:szCs w:val="28"/>
        </w:rPr>
        <w:t xml:space="preserve">of </w:t>
      </w:r>
      <w:r w:rsidRPr="002533E6">
        <w:rPr>
          <w:sz w:val="28"/>
          <w:szCs w:val="28"/>
        </w:rPr>
        <w:t>15% of the voting interests of the community</w:t>
      </w:r>
      <w:r w:rsidR="00CB79BE" w:rsidRPr="002533E6">
        <w:rPr>
          <w:sz w:val="28"/>
          <w:szCs w:val="28"/>
        </w:rPr>
        <w:t>.</w:t>
      </w:r>
    </w:p>
    <w:p w:rsidR="00A110EC" w:rsidRPr="002533E6" w:rsidRDefault="00CB79BE" w:rsidP="00F745BD">
      <w:pPr>
        <w:pStyle w:val="ListParagraph"/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 </w:t>
      </w:r>
    </w:p>
    <w:p w:rsidR="00CB79BE" w:rsidRDefault="002533E6" w:rsidP="00F745BD">
      <w:pPr>
        <w:pStyle w:val="ListParagraph"/>
        <w:numPr>
          <w:ilvl w:val="0"/>
          <w:numId w:val="4"/>
        </w:numPr>
        <w:ind w:left="990"/>
        <w:rPr>
          <w:sz w:val="28"/>
          <w:szCs w:val="28"/>
        </w:rPr>
      </w:pPr>
      <w:r>
        <w:rPr>
          <w:sz w:val="28"/>
          <w:szCs w:val="28"/>
        </w:rPr>
        <w:t xml:space="preserve">Use online </w:t>
      </w:r>
      <w:r w:rsidR="00CB79BE" w:rsidRPr="002533E6">
        <w:rPr>
          <w:sz w:val="28"/>
          <w:szCs w:val="28"/>
        </w:rPr>
        <w:t xml:space="preserve">forms to </w:t>
      </w:r>
      <w:r w:rsidR="009A44B4">
        <w:rPr>
          <w:sz w:val="28"/>
          <w:szCs w:val="28"/>
        </w:rPr>
        <w:t xml:space="preserve">download and </w:t>
      </w:r>
      <w:r w:rsidR="00CB79BE" w:rsidRPr="002533E6">
        <w:rPr>
          <w:sz w:val="28"/>
          <w:szCs w:val="28"/>
        </w:rPr>
        <w:t xml:space="preserve">create: </w:t>
      </w:r>
    </w:p>
    <w:p w:rsidR="002533E6" w:rsidRP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CB79BE" w:rsidRPr="002533E6" w:rsidRDefault="00CB79BE" w:rsidP="006B20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533E6">
        <w:rPr>
          <w:sz w:val="28"/>
          <w:szCs w:val="28"/>
        </w:rPr>
        <w:t>A petition to the Ombudsman</w:t>
      </w:r>
      <w:r w:rsidR="0099364E" w:rsidRPr="002533E6">
        <w:rPr>
          <w:sz w:val="28"/>
          <w:szCs w:val="28"/>
        </w:rPr>
        <w:t xml:space="preserve"> to provide Election services, Exhibit 1</w:t>
      </w:r>
      <w:r w:rsidR="005E055F" w:rsidRPr="002533E6">
        <w:rPr>
          <w:sz w:val="28"/>
          <w:szCs w:val="28"/>
        </w:rPr>
        <w:t xml:space="preserve">. </w:t>
      </w:r>
      <w:hyperlink r:id="rId7" w:history="1">
        <w:r w:rsidR="005E055F" w:rsidRPr="003C1C73">
          <w:rPr>
            <w:rStyle w:val="Hyperlink"/>
            <w:sz w:val="28"/>
            <w:szCs w:val="28"/>
          </w:rPr>
          <w:t>CLICK HERE</w:t>
        </w:r>
        <w:r w:rsidR="0099364E" w:rsidRPr="003C1C73">
          <w:rPr>
            <w:rStyle w:val="Hyperlink"/>
            <w:sz w:val="28"/>
            <w:szCs w:val="28"/>
          </w:rPr>
          <w:t xml:space="preserve"> for a form Petition</w:t>
        </w:r>
      </w:hyperlink>
      <w:r w:rsidR="0099364E" w:rsidRPr="002533E6">
        <w:rPr>
          <w:sz w:val="28"/>
          <w:szCs w:val="28"/>
        </w:rPr>
        <w:t>;</w:t>
      </w:r>
    </w:p>
    <w:p w:rsidR="00CB79BE" w:rsidRPr="002533E6" w:rsidRDefault="00CB79BE" w:rsidP="006B20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533E6">
        <w:rPr>
          <w:color w:val="000000"/>
          <w:sz w:val="28"/>
          <w:szCs w:val="28"/>
        </w:rPr>
        <w:t>A resolution</w:t>
      </w:r>
      <w:r w:rsidR="005E055F" w:rsidRPr="002533E6">
        <w:rPr>
          <w:color w:val="000000"/>
          <w:sz w:val="28"/>
          <w:szCs w:val="28"/>
        </w:rPr>
        <w:t xml:space="preserve"> by </w:t>
      </w:r>
      <w:r w:rsidRPr="002533E6">
        <w:rPr>
          <w:sz w:val="28"/>
          <w:szCs w:val="28"/>
        </w:rPr>
        <w:t>the Board requesting the Ombudsman to provide election services, if the board is making the request.</w:t>
      </w:r>
      <w:r w:rsidR="0099364E" w:rsidRPr="002533E6">
        <w:rPr>
          <w:sz w:val="28"/>
          <w:szCs w:val="28"/>
        </w:rPr>
        <w:t xml:space="preserve"> Exhibit 2. </w:t>
      </w:r>
      <w:hyperlink r:id="rId8" w:history="1">
        <w:r w:rsidR="005E055F" w:rsidRPr="003C1C73">
          <w:rPr>
            <w:rStyle w:val="Hyperlink"/>
            <w:sz w:val="28"/>
            <w:szCs w:val="28"/>
          </w:rPr>
          <w:t xml:space="preserve">CLICK HERE </w:t>
        </w:r>
        <w:r w:rsidR="0099364E" w:rsidRPr="003C1C73">
          <w:rPr>
            <w:rStyle w:val="Hyperlink"/>
            <w:sz w:val="28"/>
            <w:szCs w:val="28"/>
          </w:rPr>
          <w:t xml:space="preserve">for a form Resolution; </w:t>
        </w:r>
      </w:hyperlink>
      <w:r w:rsidR="0099364E" w:rsidRPr="002533E6">
        <w:rPr>
          <w:sz w:val="28"/>
          <w:szCs w:val="28"/>
        </w:rPr>
        <w:t xml:space="preserve"> </w:t>
      </w:r>
    </w:p>
    <w:p w:rsidR="0099364E" w:rsidRPr="002533E6" w:rsidRDefault="0099364E" w:rsidP="006B20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533E6">
        <w:rPr>
          <w:sz w:val="28"/>
          <w:szCs w:val="28"/>
        </w:rPr>
        <w:t xml:space="preserve">Fill out the “Information Required from Community for Ombudsperson’s Election Services, Exhibit 3” from your governing documents.  </w:t>
      </w:r>
      <w:hyperlink r:id="rId9" w:history="1">
        <w:r w:rsidR="005E055F" w:rsidRPr="009A44B4">
          <w:rPr>
            <w:rStyle w:val="Hyperlink"/>
            <w:sz w:val="28"/>
            <w:szCs w:val="28"/>
          </w:rPr>
          <w:t>C</w:t>
        </w:r>
        <w:r w:rsidR="005E055F" w:rsidRPr="009A44B4">
          <w:rPr>
            <w:rStyle w:val="Hyperlink"/>
            <w:sz w:val="28"/>
            <w:szCs w:val="28"/>
          </w:rPr>
          <w:t>L</w:t>
        </w:r>
        <w:r w:rsidR="005E055F" w:rsidRPr="009A44B4">
          <w:rPr>
            <w:rStyle w:val="Hyperlink"/>
            <w:sz w:val="28"/>
            <w:szCs w:val="28"/>
          </w:rPr>
          <w:t>I</w:t>
        </w:r>
        <w:r w:rsidR="005E055F" w:rsidRPr="009A44B4">
          <w:rPr>
            <w:rStyle w:val="Hyperlink"/>
            <w:sz w:val="28"/>
            <w:szCs w:val="28"/>
          </w:rPr>
          <w:t xml:space="preserve">CK HERE </w:t>
        </w:r>
        <w:r w:rsidRPr="009A44B4">
          <w:rPr>
            <w:rStyle w:val="Hyperlink"/>
            <w:sz w:val="28"/>
            <w:szCs w:val="28"/>
          </w:rPr>
          <w:t>for a form Exhibit 3;</w:t>
        </w:r>
      </w:hyperlink>
    </w:p>
    <w:p w:rsidR="00CB79BE" w:rsidRPr="002533E6" w:rsidRDefault="0099364E" w:rsidP="006B20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533E6">
        <w:rPr>
          <w:sz w:val="28"/>
          <w:szCs w:val="28"/>
        </w:rPr>
        <w:t xml:space="preserve">Complete a </w:t>
      </w:r>
      <w:r w:rsidR="00CB79BE" w:rsidRPr="002533E6">
        <w:rPr>
          <w:sz w:val="28"/>
          <w:szCs w:val="28"/>
        </w:rPr>
        <w:t xml:space="preserve">draft </w:t>
      </w:r>
      <w:r w:rsidRPr="002533E6">
        <w:rPr>
          <w:sz w:val="28"/>
          <w:szCs w:val="28"/>
        </w:rPr>
        <w:t>Agreement between</w:t>
      </w:r>
      <w:r w:rsidR="00CB79BE" w:rsidRPr="002533E6">
        <w:rPr>
          <w:sz w:val="28"/>
          <w:szCs w:val="28"/>
        </w:rPr>
        <w:t xml:space="preserve"> the community, the Ombudsman and the Department of </w:t>
      </w:r>
      <w:r w:rsidRPr="002533E6">
        <w:rPr>
          <w:sz w:val="28"/>
          <w:szCs w:val="28"/>
        </w:rPr>
        <w:t>Elections</w:t>
      </w:r>
      <w:r w:rsidR="00CB79BE" w:rsidRPr="002533E6">
        <w:rPr>
          <w:sz w:val="28"/>
          <w:szCs w:val="28"/>
        </w:rPr>
        <w:t xml:space="preserve"> for providing elections services</w:t>
      </w:r>
      <w:r w:rsidRPr="002533E6">
        <w:rPr>
          <w:sz w:val="28"/>
          <w:szCs w:val="28"/>
        </w:rPr>
        <w:t xml:space="preserve">, and agreeing </w:t>
      </w:r>
      <w:r w:rsidRPr="002533E6">
        <w:rPr>
          <w:sz w:val="28"/>
          <w:szCs w:val="28"/>
        </w:rPr>
        <w:lastRenderedPageBreak/>
        <w:t xml:space="preserve">to pay the Office of the Ombudsperson for the services provided.  </w:t>
      </w:r>
      <w:r w:rsidR="00D1316C" w:rsidRPr="002533E6">
        <w:rPr>
          <w:sz w:val="28"/>
          <w:szCs w:val="28"/>
        </w:rPr>
        <w:t xml:space="preserve">Exhibit 4.  </w:t>
      </w:r>
      <w:hyperlink r:id="rId10" w:history="1">
        <w:r w:rsidR="005E055F" w:rsidRPr="003C1C73">
          <w:rPr>
            <w:rStyle w:val="Hyperlink"/>
            <w:sz w:val="28"/>
            <w:szCs w:val="28"/>
          </w:rPr>
          <w:t>CLICK HERE</w:t>
        </w:r>
        <w:r w:rsidRPr="003C1C73">
          <w:rPr>
            <w:rStyle w:val="Hyperlink"/>
            <w:sz w:val="28"/>
            <w:szCs w:val="28"/>
          </w:rPr>
          <w:t xml:space="preserve"> for a form Agreem</w:t>
        </w:r>
        <w:r w:rsidRPr="003C1C73">
          <w:rPr>
            <w:rStyle w:val="Hyperlink"/>
            <w:sz w:val="28"/>
            <w:szCs w:val="28"/>
          </w:rPr>
          <w:t>e</w:t>
        </w:r>
        <w:r w:rsidRPr="003C1C73">
          <w:rPr>
            <w:rStyle w:val="Hyperlink"/>
            <w:sz w:val="28"/>
            <w:szCs w:val="28"/>
          </w:rPr>
          <w:t>nt</w:t>
        </w:r>
      </w:hyperlink>
      <w:r w:rsidRPr="002533E6">
        <w:rPr>
          <w:sz w:val="28"/>
          <w:szCs w:val="28"/>
        </w:rPr>
        <w:t>.</w:t>
      </w:r>
    </w:p>
    <w:p w:rsidR="00CB79BE" w:rsidRPr="003C1C73" w:rsidRDefault="0099364E" w:rsidP="006B20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533E6">
        <w:rPr>
          <w:sz w:val="28"/>
          <w:szCs w:val="28"/>
        </w:rPr>
        <w:t xml:space="preserve">Attach all the documents to a completed Ombudsman’s “Contact &amp; Complaint” Form with the </w:t>
      </w:r>
      <w:r w:rsidR="005E055F" w:rsidRPr="002533E6">
        <w:rPr>
          <w:sz w:val="28"/>
          <w:szCs w:val="28"/>
        </w:rPr>
        <w:t xml:space="preserve">election </w:t>
      </w:r>
      <w:r w:rsidRPr="002533E6">
        <w:rPr>
          <w:sz w:val="28"/>
          <w:szCs w:val="28"/>
        </w:rPr>
        <w:t>part</w:t>
      </w:r>
      <w:r w:rsidR="005E055F" w:rsidRPr="002533E6">
        <w:rPr>
          <w:sz w:val="28"/>
          <w:szCs w:val="28"/>
        </w:rPr>
        <w:t>s</w:t>
      </w:r>
      <w:r w:rsidRPr="002533E6">
        <w:rPr>
          <w:sz w:val="28"/>
          <w:szCs w:val="28"/>
        </w:rPr>
        <w:t xml:space="preserve"> of you governing documents, and a check payable to the Office of the CIC Ombudsman for $35 (administration fee).</w:t>
      </w:r>
      <w:r w:rsidR="003C1C73">
        <w:rPr>
          <w:sz w:val="28"/>
          <w:szCs w:val="28"/>
        </w:rPr>
        <w:t xml:space="preserve"> </w:t>
      </w:r>
      <w:hyperlink r:id="rId11" w:history="1">
        <w:r w:rsidR="005E055F" w:rsidRPr="003C1C73">
          <w:rPr>
            <w:rStyle w:val="Hyperlink"/>
            <w:sz w:val="28"/>
            <w:szCs w:val="28"/>
          </w:rPr>
          <w:t xml:space="preserve">CLICK HERE </w:t>
        </w:r>
        <w:r w:rsidR="00D1316C" w:rsidRPr="003C1C73">
          <w:rPr>
            <w:rStyle w:val="Hyperlink"/>
            <w:sz w:val="28"/>
            <w:szCs w:val="28"/>
          </w:rPr>
          <w:t xml:space="preserve">for a </w:t>
        </w:r>
        <w:r w:rsidR="00D1316C" w:rsidRPr="003C1C73">
          <w:rPr>
            <w:rStyle w:val="Hyperlink"/>
            <w:sz w:val="28"/>
            <w:szCs w:val="28"/>
          </w:rPr>
          <w:t>f</w:t>
        </w:r>
        <w:r w:rsidR="00D1316C" w:rsidRPr="003C1C73">
          <w:rPr>
            <w:rStyle w:val="Hyperlink"/>
            <w:sz w:val="28"/>
            <w:szCs w:val="28"/>
          </w:rPr>
          <w:t>illa</w:t>
        </w:r>
        <w:bookmarkStart w:id="0" w:name="_GoBack"/>
        <w:bookmarkEnd w:id="0"/>
        <w:r w:rsidR="00D1316C" w:rsidRPr="003C1C73">
          <w:rPr>
            <w:rStyle w:val="Hyperlink"/>
            <w:sz w:val="28"/>
            <w:szCs w:val="28"/>
          </w:rPr>
          <w:t>b</w:t>
        </w:r>
        <w:r w:rsidR="00D1316C" w:rsidRPr="003C1C73">
          <w:rPr>
            <w:rStyle w:val="Hyperlink"/>
            <w:sz w:val="28"/>
            <w:szCs w:val="28"/>
          </w:rPr>
          <w:t>le copy of the Ombudsman’s “Contact &amp; Complaint” form</w:t>
        </w:r>
      </w:hyperlink>
      <w:r w:rsidR="00D1316C" w:rsidRPr="002533E6">
        <w:rPr>
          <w:sz w:val="28"/>
          <w:szCs w:val="28"/>
        </w:rPr>
        <w:t>.</w:t>
      </w:r>
      <w:r w:rsidR="003C1C73" w:rsidRPr="003C1C73">
        <w:rPr>
          <w:sz w:val="28"/>
          <w:szCs w:val="28"/>
        </w:rPr>
        <w:t xml:space="preserve"> See page 4, ¶ 2 to request Election Services.</w:t>
      </w:r>
    </w:p>
    <w:p w:rsidR="00A110EC" w:rsidRPr="002533E6" w:rsidRDefault="00A110EC" w:rsidP="00F745BD">
      <w:pPr>
        <w:pStyle w:val="ListParagraph"/>
        <w:ind w:left="990"/>
        <w:rPr>
          <w:sz w:val="28"/>
          <w:szCs w:val="28"/>
        </w:rPr>
      </w:pPr>
    </w:p>
    <w:p w:rsidR="002533E6" w:rsidRDefault="00A110EC" w:rsidP="00F745BD">
      <w:pPr>
        <w:pStyle w:val="ListParagraph"/>
        <w:numPr>
          <w:ilvl w:val="0"/>
          <w:numId w:val="4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The Ombudsman will contract with the DOE for the services the community desires. </w:t>
      </w:r>
    </w:p>
    <w:p w:rsidR="00900F65" w:rsidRPr="002533E6" w:rsidRDefault="00A110EC" w:rsidP="00F745BD">
      <w:pPr>
        <w:pStyle w:val="ListParagraph"/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 </w:t>
      </w:r>
    </w:p>
    <w:p w:rsidR="00900F65" w:rsidRDefault="00A110EC" w:rsidP="00F745BD">
      <w:pPr>
        <w:pStyle w:val="ListParagraph"/>
        <w:numPr>
          <w:ilvl w:val="0"/>
          <w:numId w:val="4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The community</w:t>
      </w:r>
      <w:r w:rsidR="00900F65" w:rsidRPr="002533E6">
        <w:rPr>
          <w:sz w:val="28"/>
          <w:szCs w:val="28"/>
        </w:rPr>
        <w:t xml:space="preserve"> will </w:t>
      </w:r>
      <w:r w:rsidRPr="002533E6">
        <w:rPr>
          <w:sz w:val="28"/>
          <w:szCs w:val="28"/>
        </w:rPr>
        <w:t xml:space="preserve">pay the Ombudsman’s Office, based on the DOE’s estimate, and </w:t>
      </w:r>
      <w:r w:rsidR="00555EF5" w:rsidRPr="002533E6">
        <w:rPr>
          <w:sz w:val="28"/>
          <w:szCs w:val="28"/>
        </w:rPr>
        <w:t>the Ombudsman’s estimate of additional costs.</w:t>
      </w:r>
    </w:p>
    <w:p w:rsidR="002533E6" w:rsidRP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900F65" w:rsidRDefault="0099364E" w:rsidP="00F745BD">
      <w:pPr>
        <w:pStyle w:val="ListParagraph"/>
        <w:numPr>
          <w:ilvl w:val="0"/>
          <w:numId w:val="4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The </w:t>
      </w:r>
      <w:r w:rsidR="00A110EC" w:rsidRPr="002533E6">
        <w:rPr>
          <w:sz w:val="28"/>
          <w:szCs w:val="28"/>
        </w:rPr>
        <w:t xml:space="preserve">Department of Elections will provide the </w:t>
      </w:r>
      <w:proofErr w:type="gramStart"/>
      <w:r w:rsidR="00A110EC" w:rsidRPr="002533E6">
        <w:rPr>
          <w:sz w:val="28"/>
          <w:szCs w:val="28"/>
        </w:rPr>
        <w:t>services,</w:t>
      </w:r>
      <w:r w:rsidR="003C1C73">
        <w:rPr>
          <w:sz w:val="28"/>
          <w:szCs w:val="28"/>
        </w:rPr>
        <w:t xml:space="preserve"> </w:t>
      </w:r>
      <w:r w:rsidR="00555EF5" w:rsidRPr="002533E6">
        <w:rPr>
          <w:sz w:val="28"/>
          <w:szCs w:val="28"/>
        </w:rPr>
        <w:t>that</w:t>
      </w:r>
      <w:proofErr w:type="gramEnd"/>
      <w:r w:rsidR="00A110EC" w:rsidRPr="002533E6">
        <w:rPr>
          <w:sz w:val="28"/>
          <w:szCs w:val="28"/>
        </w:rPr>
        <w:t xml:space="preserve"> do not conflict with other scheduled </w:t>
      </w:r>
      <w:r w:rsidR="00555EF5" w:rsidRPr="002533E6">
        <w:rPr>
          <w:sz w:val="28"/>
          <w:szCs w:val="28"/>
        </w:rPr>
        <w:t xml:space="preserve">State </w:t>
      </w:r>
      <w:r w:rsidR="002533E6">
        <w:rPr>
          <w:sz w:val="28"/>
          <w:szCs w:val="28"/>
        </w:rPr>
        <w:t xml:space="preserve">and national elections. </w:t>
      </w:r>
    </w:p>
    <w:p w:rsidR="002533E6" w:rsidRP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A110EC" w:rsidRPr="002533E6" w:rsidRDefault="00A110EC" w:rsidP="00F745BD">
      <w:pPr>
        <w:pStyle w:val="ListParagraph"/>
        <w:numPr>
          <w:ilvl w:val="0"/>
          <w:numId w:val="4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The Ombudsman w</w:t>
      </w:r>
      <w:r w:rsidR="0099364E" w:rsidRPr="002533E6">
        <w:rPr>
          <w:sz w:val="28"/>
          <w:szCs w:val="28"/>
        </w:rPr>
        <w:t>ill</w:t>
      </w:r>
      <w:r w:rsidRPr="002533E6">
        <w:rPr>
          <w:sz w:val="28"/>
          <w:szCs w:val="28"/>
        </w:rPr>
        <w:t xml:space="preserve"> pay the DOE according the estimate and the contract</w:t>
      </w:r>
      <w:r w:rsidR="00900F65" w:rsidRPr="002533E6">
        <w:rPr>
          <w:sz w:val="28"/>
          <w:szCs w:val="28"/>
        </w:rPr>
        <w:t>, and reimburse the DOJ for expenses.</w:t>
      </w:r>
    </w:p>
    <w:p w:rsidR="0010454E" w:rsidRPr="002533E6" w:rsidRDefault="00B82776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The </w:t>
      </w:r>
      <w:r w:rsidR="00DE1A48" w:rsidRPr="002533E6">
        <w:rPr>
          <w:sz w:val="28"/>
          <w:szCs w:val="28"/>
        </w:rPr>
        <w:t xml:space="preserve">Office </w:t>
      </w:r>
      <w:r w:rsidR="0010454E" w:rsidRPr="002533E6">
        <w:rPr>
          <w:sz w:val="28"/>
          <w:szCs w:val="28"/>
        </w:rPr>
        <w:t>of the Ombudsman person contracts</w:t>
      </w:r>
      <w:r w:rsidRPr="002533E6">
        <w:rPr>
          <w:sz w:val="28"/>
          <w:szCs w:val="28"/>
        </w:rPr>
        <w:t xml:space="preserve"> with the</w:t>
      </w:r>
      <w:r w:rsidR="000E28E6" w:rsidRPr="002533E6">
        <w:rPr>
          <w:sz w:val="28"/>
          <w:szCs w:val="28"/>
        </w:rPr>
        <w:t xml:space="preserve"> HOA and </w:t>
      </w:r>
      <w:r w:rsidR="00DE1A48" w:rsidRPr="002533E6">
        <w:rPr>
          <w:sz w:val="28"/>
          <w:szCs w:val="28"/>
        </w:rPr>
        <w:t xml:space="preserve">Department of Elections </w:t>
      </w:r>
      <w:r w:rsidRPr="002533E6">
        <w:rPr>
          <w:sz w:val="28"/>
          <w:szCs w:val="28"/>
        </w:rPr>
        <w:t xml:space="preserve">to </w:t>
      </w:r>
      <w:r w:rsidR="005E055F" w:rsidRPr="002533E6">
        <w:rPr>
          <w:sz w:val="28"/>
          <w:szCs w:val="28"/>
        </w:rPr>
        <w:t>provide</w:t>
      </w:r>
      <w:r w:rsidRPr="002533E6">
        <w:rPr>
          <w:sz w:val="28"/>
          <w:szCs w:val="28"/>
        </w:rPr>
        <w:t xml:space="preserve"> election services. </w:t>
      </w:r>
      <w:r w:rsidR="0010454E" w:rsidRPr="002533E6">
        <w:rPr>
          <w:sz w:val="28"/>
          <w:szCs w:val="28"/>
        </w:rPr>
        <w:t xml:space="preserve">An Association must contract for these services through the Office of the Ombudsperson. For an application and form contract listing the services available and their cost, </w:t>
      </w:r>
      <w:r w:rsidR="00CE22AC">
        <w:rPr>
          <w:sz w:val="28"/>
          <w:szCs w:val="28"/>
        </w:rPr>
        <w:t>contact the Ombudsman’s Office</w:t>
      </w:r>
      <w:r w:rsidR="0010454E" w:rsidRPr="002533E6">
        <w:rPr>
          <w:sz w:val="28"/>
          <w:szCs w:val="28"/>
        </w:rPr>
        <w:t>.</w:t>
      </w:r>
    </w:p>
    <w:p w:rsidR="0010454E" w:rsidRPr="002533E6" w:rsidRDefault="0010454E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The Department of Elections </w:t>
      </w:r>
      <w:r w:rsidR="00CE22AC">
        <w:rPr>
          <w:sz w:val="28"/>
          <w:szCs w:val="28"/>
        </w:rPr>
        <w:t>might</w:t>
      </w:r>
      <w:r w:rsidRPr="002533E6">
        <w:rPr>
          <w:sz w:val="28"/>
          <w:szCs w:val="28"/>
        </w:rPr>
        <w:t xml:space="preserve"> not accommodate HOA requests during times reserved for Federal, State</w:t>
      </w:r>
      <w:r w:rsidR="000E7303" w:rsidRPr="002533E6">
        <w:rPr>
          <w:sz w:val="28"/>
          <w:szCs w:val="28"/>
        </w:rPr>
        <w:t xml:space="preserve">, local </w:t>
      </w:r>
      <w:r w:rsidRPr="002533E6">
        <w:rPr>
          <w:sz w:val="28"/>
          <w:szCs w:val="28"/>
        </w:rPr>
        <w:t xml:space="preserve">and municipal elections. </w:t>
      </w:r>
      <w:r w:rsidR="005E055F" w:rsidRPr="002533E6">
        <w:rPr>
          <w:sz w:val="28"/>
          <w:szCs w:val="28"/>
        </w:rPr>
        <w:t xml:space="preserve">Please allow </w:t>
      </w:r>
      <w:r w:rsidRPr="002533E6">
        <w:rPr>
          <w:sz w:val="28"/>
          <w:szCs w:val="28"/>
        </w:rPr>
        <w:t xml:space="preserve">adequate </w:t>
      </w:r>
      <w:proofErr w:type="gramStart"/>
      <w:r w:rsidRPr="002533E6">
        <w:rPr>
          <w:sz w:val="28"/>
          <w:szCs w:val="28"/>
        </w:rPr>
        <w:t>lead</w:t>
      </w:r>
      <w:r w:rsidR="00846285" w:rsidRPr="002533E6">
        <w:rPr>
          <w:sz w:val="28"/>
          <w:szCs w:val="28"/>
        </w:rPr>
        <w:t xml:space="preserve"> </w:t>
      </w:r>
      <w:r w:rsidRPr="002533E6">
        <w:rPr>
          <w:sz w:val="28"/>
          <w:szCs w:val="28"/>
        </w:rPr>
        <w:t>time</w:t>
      </w:r>
      <w:proofErr w:type="gramEnd"/>
      <w:r w:rsidRPr="002533E6">
        <w:rPr>
          <w:sz w:val="28"/>
          <w:szCs w:val="28"/>
        </w:rPr>
        <w:t>.</w:t>
      </w:r>
    </w:p>
    <w:p w:rsidR="00B82776" w:rsidRPr="00CE22AC" w:rsidRDefault="00EC3F41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The DOE will prepare</w:t>
      </w:r>
      <w:r w:rsidR="005E055F" w:rsidRPr="002533E6">
        <w:rPr>
          <w:sz w:val="28"/>
          <w:szCs w:val="28"/>
        </w:rPr>
        <w:t xml:space="preserve"> an </w:t>
      </w:r>
      <w:r w:rsidR="00555EF5" w:rsidRPr="002533E6">
        <w:rPr>
          <w:sz w:val="28"/>
          <w:szCs w:val="28"/>
        </w:rPr>
        <w:t>estimate</w:t>
      </w:r>
      <w:r w:rsidRPr="002533E6">
        <w:rPr>
          <w:sz w:val="28"/>
          <w:szCs w:val="28"/>
        </w:rPr>
        <w:t xml:space="preserve"> to the DOJ, Office of the Ombudsperson.</w:t>
      </w:r>
      <w:r w:rsidR="005E055F" w:rsidRPr="002533E6">
        <w:rPr>
          <w:sz w:val="28"/>
          <w:szCs w:val="28"/>
        </w:rPr>
        <w:t xml:space="preserve"> The DOJ may estimate additional fees for DOJ personnel and expenses.</w:t>
      </w:r>
      <w:r w:rsidR="00CE22AC">
        <w:rPr>
          <w:sz w:val="28"/>
          <w:szCs w:val="28"/>
        </w:rPr>
        <w:t xml:space="preserve"> </w:t>
      </w:r>
      <w:r w:rsidR="00CE22AC" w:rsidRPr="00CE22AC">
        <w:rPr>
          <w:sz w:val="28"/>
          <w:szCs w:val="28"/>
        </w:rPr>
        <w:t>A fee approximating the actual cost associated with this service must be paid in advance</w:t>
      </w:r>
      <w:r w:rsidR="00CE22AC">
        <w:rPr>
          <w:sz w:val="28"/>
          <w:szCs w:val="28"/>
        </w:rPr>
        <w:t xml:space="preserve"> to the Ombudsman’s Office</w:t>
      </w:r>
      <w:proofErr w:type="gramStart"/>
      <w:r w:rsidR="00CE22AC">
        <w:rPr>
          <w:sz w:val="28"/>
          <w:szCs w:val="28"/>
        </w:rPr>
        <w:t>.</w:t>
      </w:r>
      <w:r w:rsidR="00CE22AC" w:rsidRPr="00CE22AC">
        <w:rPr>
          <w:sz w:val="28"/>
          <w:szCs w:val="28"/>
        </w:rPr>
        <w:t>.</w:t>
      </w:r>
      <w:proofErr w:type="gramEnd"/>
    </w:p>
    <w:p w:rsidR="000E28E6" w:rsidRPr="002533E6" w:rsidRDefault="005E055F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The </w:t>
      </w:r>
      <w:r w:rsidR="000E28E6" w:rsidRPr="002533E6">
        <w:rPr>
          <w:sz w:val="28"/>
          <w:szCs w:val="28"/>
        </w:rPr>
        <w:t xml:space="preserve">Department of Elections </w:t>
      </w:r>
      <w:r w:rsidRPr="002533E6">
        <w:rPr>
          <w:sz w:val="28"/>
          <w:szCs w:val="28"/>
        </w:rPr>
        <w:t xml:space="preserve">maintains a standard </w:t>
      </w:r>
      <w:r w:rsidR="000E28E6" w:rsidRPr="002533E6">
        <w:rPr>
          <w:sz w:val="28"/>
          <w:szCs w:val="28"/>
        </w:rPr>
        <w:t>cost</w:t>
      </w:r>
      <w:r w:rsidRPr="002533E6">
        <w:rPr>
          <w:sz w:val="28"/>
          <w:szCs w:val="28"/>
        </w:rPr>
        <w:t xml:space="preserve"> list of its election services</w:t>
      </w:r>
      <w:r w:rsidR="000E28E6" w:rsidRPr="002533E6">
        <w:rPr>
          <w:sz w:val="28"/>
          <w:szCs w:val="28"/>
        </w:rPr>
        <w:t>. The DOE will estimate the costs, to the</w:t>
      </w:r>
      <w:r w:rsidR="00555EF5" w:rsidRPr="002533E6">
        <w:rPr>
          <w:sz w:val="28"/>
          <w:szCs w:val="28"/>
        </w:rPr>
        <w:t xml:space="preserve"> Ombudsman, </w:t>
      </w:r>
      <w:r w:rsidR="000E28E6" w:rsidRPr="002533E6">
        <w:rPr>
          <w:sz w:val="28"/>
          <w:szCs w:val="28"/>
        </w:rPr>
        <w:t>in advance. The Office of the Ombudsperson also requires</w:t>
      </w:r>
      <w:r w:rsidR="00555EF5" w:rsidRPr="002533E6">
        <w:rPr>
          <w:sz w:val="28"/>
          <w:szCs w:val="28"/>
        </w:rPr>
        <w:t xml:space="preserve"> a $35 fee for filing a “Contact &amp; Complaint”</w:t>
      </w:r>
      <w:r w:rsidR="000E28E6" w:rsidRPr="002533E6">
        <w:rPr>
          <w:sz w:val="28"/>
          <w:szCs w:val="28"/>
        </w:rPr>
        <w:t xml:space="preserve"> form requesting election services</w:t>
      </w:r>
      <w:r w:rsidR="00900F65" w:rsidRPr="002533E6">
        <w:rPr>
          <w:sz w:val="28"/>
          <w:szCs w:val="28"/>
        </w:rPr>
        <w:t>, and may incur expenses of DOJ personnel.</w:t>
      </w:r>
      <w:r w:rsidR="00555EF5" w:rsidRPr="002533E6">
        <w:rPr>
          <w:sz w:val="28"/>
          <w:szCs w:val="28"/>
        </w:rPr>
        <w:t xml:space="preserve"> </w:t>
      </w:r>
    </w:p>
    <w:p w:rsidR="000C443C" w:rsidRPr="002533E6" w:rsidRDefault="000C443C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lastRenderedPageBreak/>
        <w:t xml:space="preserve">The </w:t>
      </w:r>
      <w:r w:rsidR="0091015B" w:rsidRPr="002533E6">
        <w:rPr>
          <w:sz w:val="28"/>
          <w:szCs w:val="28"/>
        </w:rPr>
        <w:t xml:space="preserve">contract between the </w:t>
      </w:r>
      <w:r w:rsidR="000E28E6" w:rsidRPr="002533E6">
        <w:rPr>
          <w:sz w:val="28"/>
          <w:szCs w:val="28"/>
        </w:rPr>
        <w:t>parties</w:t>
      </w:r>
      <w:r w:rsidR="00555EF5" w:rsidRPr="002533E6">
        <w:rPr>
          <w:sz w:val="28"/>
          <w:szCs w:val="28"/>
        </w:rPr>
        <w:t xml:space="preserve"> d</w:t>
      </w:r>
      <w:r w:rsidR="0010454E" w:rsidRPr="002533E6">
        <w:rPr>
          <w:sz w:val="28"/>
          <w:szCs w:val="28"/>
        </w:rPr>
        <w:t>escribe</w:t>
      </w:r>
      <w:r w:rsidR="00555EF5" w:rsidRPr="002533E6">
        <w:rPr>
          <w:sz w:val="28"/>
          <w:szCs w:val="28"/>
        </w:rPr>
        <w:t>s</w:t>
      </w:r>
      <w:r w:rsidR="0010454E" w:rsidRPr="002533E6">
        <w:rPr>
          <w:sz w:val="28"/>
          <w:szCs w:val="28"/>
        </w:rPr>
        <w:t xml:space="preserve"> </w:t>
      </w:r>
      <w:r w:rsidR="0091015B" w:rsidRPr="002533E6">
        <w:rPr>
          <w:sz w:val="28"/>
          <w:szCs w:val="28"/>
        </w:rPr>
        <w:t xml:space="preserve">the </w:t>
      </w:r>
      <w:r w:rsidR="000E28E6" w:rsidRPr="002533E6">
        <w:rPr>
          <w:sz w:val="28"/>
          <w:szCs w:val="28"/>
        </w:rPr>
        <w:t xml:space="preserve">information and </w:t>
      </w:r>
      <w:r w:rsidR="0091015B" w:rsidRPr="002533E6">
        <w:rPr>
          <w:sz w:val="28"/>
          <w:szCs w:val="28"/>
        </w:rPr>
        <w:t xml:space="preserve">services to </w:t>
      </w:r>
      <w:proofErr w:type="gramStart"/>
      <w:r w:rsidR="0091015B" w:rsidRPr="002533E6">
        <w:rPr>
          <w:sz w:val="28"/>
          <w:szCs w:val="28"/>
        </w:rPr>
        <w:t>be provided</w:t>
      </w:r>
      <w:proofErr w:type="gramEnd"/>
      <w:r w:rsidR="00EC3F41" w:rsidRPr="002533E6">
        <w:rPr>
          <w:sz w:val="28"/>
          <w:szCs w:val="28"/>
        </w:rPr>
        <w:t xml:space="preserve"> and the role of </w:t>
      </w:r>
      <w:r w:rsidR="000E28E6" w:rsidRPr="002533E6">
        <w:rPr>
          <w:sz w:val="28"/>
          <w:szCs w:val="28"/>
        </w:rPr>
        <w:t xml:space="preserve">each party, </w:t>
      </w:r>
      <w:r w:rsidR="00EC3F41" w:rsidRPr="002533E6">
        <w:rPr>
          <w:sz w:val="28"/>
          <w:szCs w:val="28"/>
        </w:rPr>
        <w:t xml:space="preserve">the DoE, the </w:t>
      </w:r>
      <w:r w:rsidR="000E7303" w:rsidRPr="002533E6">
        <w:rPr>
          <w:sz w:val="28"/>
          <w:szCs w:val="28"/>
        </w:rPr>
        <w:t>Ombudsman</w:t>
      </w:r>
      <w:r w:rsidR="00EC3F41" w:rsidRPr="002533E6">
        <w:rPr>
          <w:sz w:val="28"/>
          <w:szCs w:val="28"/>
        </w:rPr>
        <w:t xml:space="preserve">, and the </w:t>
      </w:r>
      <w:r w:rsidR="000E7303" w:rsidRPr="002533E6">
        <w:rPr>
          <w:sz w:val="28"/>
          <w:szCs w:val="28"/>
        </w:rPr>
        <w:t>Community Association</w:t>
      </w:r>
      <w:r w:rsidRPr="002533E6">
        <w:rPr>
          <w:sz w:val="28"/>
          <w:szCs w:val="28"/>
        </w:rPr>
        <w:t>.</w:t>
      </w:r>
    </w:p>
    <w:p w:rsidR="000C443C" w:rsidRPr="002533E6" w:rsidRDefault="000C443C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The Department of Elections can provide services for</w:t>
      </w:r>
      <w:r w:rsidR="00555EF5" w:rsidRPr="002533E6">
        <w:rPr>
          <w:sz w:val="28"/>
          <w:szCs w:val="28"/>
        </w:rPr>
        <w:t xml:space="preserve"> several </w:t>
      </w:r>
      <w:r w:rsidRPr="002533E6">
        <w:rPr>
          <w:sz w:val="28"/>
          <w:szCs w:val="28"/>
        </w:rPr>
        <w:t>types of elections:</w:t>
      </w:r>
    </w:p>
    <w:p w:rsidR="00DE1A48" w:rsidRDefault="00900F65" w:rsidP="00F745BD">
      <w:pPr>
        <w:pStyle w:val="ListParagraph"/>
        <w:numPr>
          <w:ilvl w:val="0"/>
          <w:numId w:val="3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Secret Ballots, using </w:t>
      </w:r>
      <w:r w:rsidR="000E7303" w:rsidRPr="002533E6">
        <w:rPr>
          <w:sz w:val="28"/>
          <w:szCs w:val="28"/>
        </w:rPr>
        <w:t>scan</w:t>
      </w:r>
      <w:r w:rsidR="00555EF5" w:rsidRPr="002533E6">
        <w:rPr>
          <w:sz w:val="28"/>
          <w:szCs w:val="28"/>
        </w:rPr>
        <w:t>-</w:t>
      </w:r>
      <w:r w:rsidR="000E7303" w:rsidRPr="002533E6">
        <w:rPr>
          <w:sz w:val="28"/>
          <w:szCs w:val="28"/>
        </w:rPr>
        <w:t>able</w:t>
      </w:r>
      <w:r w:rsidRPr="002533E6">
        <w:rPr>
          <w:sz w:val="28"/>
          <w:szCs w:val="28"/>
        </w:rPr>
        <w:t xml:space="preserve"> ballots which will be machine read at the Department; </w:t>
      </w:r>
    </w:p>
    <w:p w:rsidR="002533E6" w:rsidRP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DE1A48" w:rsidRDefault="00900F65" w:rsidP="00F745BD">
      <w:pPr>
        <w:pStyle w:val="ListParagraph"/>
        <w:numPr>
          <w:ilvl w:val="0"/>
          <w:numId w:val="3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Voting Machines </w:t>
      </w:r>
      <w:r w:rsidR="00DE1A48" w:rsidRPr="002533E6">
        <w:rPr>
          <w:sz w:val="28"/>
          <w:szCs w:val="28"/>
        </w:rPr>
        <w:t>and trained poll workers</w:t>
      </w:r>
      <w:r w:rsidR="00555EF5" w:rsidRPr="002533E6">
        <w:rPr>
          <w:sz w:val="28"/>
          <w:szCs w:val="28"/>
        </w:rPr>
        <w:t>;</w:t>
      </w:r>
    </w:p>
    <w:p w:rsidR="002533E6" w:rsidRP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0E1050" w:rsidRDefault="00900F65" w:rsidP="00F745BD">
      <w:pPr>
        <w:pStyle w:val="ListParagraph"/>
        <w:numPr>
          <w:ilvl w:val="0"/>
          <w:numId w:val="3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The Department of Elections can accommodate proxies and write-</w:t>
      </w:r>
      <w:r w:rsidR="002533E6">
        <w:rPr>
          <w:sz w:val="28"/>
          <w:szCs w:val="28"/>
        </w:rPr>
        <w:t>in votes from floor nominations;</w:t>
      </w:r>
    </w:p>
    <w:p w:rsidR="002533E6" w:rsidRP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900F65" w:rsidRPr="002533E6" w:rsidRDefault="000E1050" w:rsidP="00F745BD">
      <w:pPr>
        <w:pStyle w:val="ListParagraph"/>
        <w:numPr>
          <w:ilvl w:val="0"/>
          <w:numId w:val="3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We can accommodate weighted votes like those in certain condominiums, based on size or category of</w:t>
      </w:r>
      <w:r w:rsidR="00D1316C" w:rsidRPr="002533E6">
        <w:rPr>
          <w:sz w:val="28"/>
          <w:szCs w:val="28"/>
        </w:rPr>
        <w:t xml:space="preserve"> </w:t>
      </w:r>
      <w:r w:rsidRPr="002533E6">
        <w:rPr>
          <w:sz w:val="28"/>
          <w:szCs w:val="28"/>
        </w:rPr>
        <w:t>units.</w:t>
      </w:r>
      <w:r w:rsidR="00900F65" w:rsidRPr="002533E6">
        <w:rPr>
          <w:sz w:val="28"/>
          <w:szCs w:val="28"/>
        </w:rPr>
        <w:t xml:space="preserve"> </w:t>
      </w:r>
    </w:p>
    <w:p w:rsidR="00DE1A48" w:rsidRPr="002533E6" w:rsidRDefault="00EC3F41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I</w:t>
      </w:r>
      <w:r w:rsidR="00DE1A48" w:rsidRPr="002533E6">
        <w:rPr>
          <w:sz w:val="28"/>
          <w:szCs w:val="28"/>
        </w:rPr>
        <w:t>f your Community bylaws do not authorize ballots, voting by mail, or electronic voting, consider</w:t>
      </w:r>
      <w:r w:rsidR="00900F65" w:rsidRPr="002533E6">
        <w:rPr>
          <w:sz w:val="28"/>
          <w:szCs w:val="28"/>
        </w:rPr>
        <w:t xml:space="preserve"> adopting </w:t>
      </w:r>
      <w:r w:rsidR="00DE1A48" w:rsidRPr="002533E6">
        <w:rPr>
          <w:sz w:val="28"/>
          <w:szCs w:val="28"/>
        </w:rPr>
        <w:t>a bylaw or amendment to the declaration</w:t>
      </w:r>
      <w:r w:rsidR="00900F65" w:rsidRPr="002533E6">
        <w:rPr>
          <w:sz w:val="28"/>
          <w:szCs w:val="28"/>
        </w:rPr>
        <w:t>,</w:t>
      </w:r>
      <w:r w:rsidR="00DE1A48" w:rsidRPr="002533E6">
        <w:rPr>
          <w:sz w:val="28"/>
          <w:szCs w:val="28"/>
        </w:rPr>
        <w:t xml:space="preserve"> if necessary to authorize the style of voting. Your voting procedure must comply with your </w:t>
      </w:r>
      <w:r w:rsidR="00900F65" w:rsidRPr="002533E6">
        <w:rPr>
          <w:sz w:val="28"/>
          <w:szCs w:val="28"/>
        </w:rPr>
        <w:t>Governing Document</w:t>
      </w:r>
      <w:r w:rsidR="00DE1A48" w:rsidRPr="002533E6">
        <w:rPr>
          <w:sz w:val="28"/>
          <w:szCs w:val="28"/>
        </w:rPr>
        <w:t>s</w:t>
      </w:r>
      <w:r w:rsidRPr="002533E6">
        <w:rPr>
          <w:sz w:val="28"/>
          <w:szCs w:val="28"/>
        </w:rPr>
        <w:t xml:space="preserve"> or </w:t>
      </w:r>
      <w:r w:rsidR="00900F65" w:rsidRPr="002533E6">
        <w:rPr>
          <w:sz w:val="28"/>
          <w:szCs w:val="28"/>
        </w:rPr>
        <w:t xml:space="preserve">the </w:t>
      </w:r>
      <w:r w:rsidRPr="002533E6">
        <w:rPr>
          <w:sz w:val="28"/>
          <w:szCs w:val="28"/>
        </w:rPr>
        <w:t>D</w:t>
      </w:r>
      <w:r w:rsidR="00900F65" w:rsidRPr="002533E6">
        <w:rPr>
          <w:sz w:val="28"/>
          <w:szCs w:val="28"/>
        </w:rPr>
        <w:t>U</w:t>
      </w:r>
      <w:r w:rsidRPr="002533E6">
        <w:rPr>
          <w:sz w:val="28"/>
          <w:szCs w:val="28"/>
        </w:rPr>
        <w:t>CIOA</w:t>
      </w:r>
      <w:r w:rsidR="00900F65" w:rsidRPr="002533E6">
        <w:rPr>
          <w:sz w:val="28"/>
          <w:szCs w:val="28"/>
        </w:rPr>
        <w:t>,</w:t>
      </w:r>
      <w:r w:rsidRPr="002533E6">
        <w:rPr>
          <w:sz w:val="28"/>
          <w:szCs w:val="28"/>
        </w:rPr>
        <w:t xml:space="preserve"> or the Delaware General Corporation Law</w:t>
      </w:r>
      <w:r w:rsidR="000E7303" w:rsidRPr="002533E6">
        <w:rPr>
          <w:sz w:val="28"/>
          <w:szCs w:val="28"/>
        </w:rPr>
        <w:t>, or a court order</w:t>
      </w:r>
      <w:r w:rsidR="00DE1A48" w:rsidRPr="002533E6">
        <w:rPr>
          <w:sz w:val="28"/>
          <w:szCs w:val="28"/>
        </w:rPr>
        <w:t>.</w:t>
      </w:r>
    </w:p>
    <w:p w:rsidR="000C443C" w:rsidRPr="002533E6" w:rsidRDefault="000C443C" w:rsidP="00F745BD">
      <w:pPr>
        <w:ind w:left="990"/>
        <w:rPr>
          <w:b/>
          <w:sz w:val="28"/>
          <w:szCs w:val="28"/>
        </w:rPr>
      </w:pPr>
      <w:r w:rsidRPr="002533E6">
        <w:rPr>
          <w:b/>
          <w:sz w:val="28"/>
          <w:szCs w:val="28"/>
        </w:rPr>
        <w:t xml:space="preserve">The HOA will be responsible </w:t>
      </w:r>
      <w:proofErr w:type="gramStart"/>
      <w:r w:rsidRPr="002533E6">
        <w:rPr>
          <w:b/>
          <w:sz w:val="28"/>
          <w:szCs w:val="28"/>
        </w:rPr>
        <w:t>for</w:t>
      </w:r>
      <w:proofErr w:type="gramEnd"/>
      <w:r w:rsidRPr="002533E6">
        <w:rPr>
          <w:b/>
          <w:sz w:val="28"/>
          <w:szCs w:val="28"/>
        </w:rPr>
        <w:t xml:space="preserve">: </w:t>
      </w:r>
    </w:p>
    <w:p w:rsidR="000C443C" w:rsidRPr="002533E6" w:rsidRDefault="000C443C" w:rsidP="00F745BD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Preparing notices and advertising to the community about the election.</w:t>
      </w:r>
    </w:p>
    <w:p w:rsid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900F65" w:rsidRPr="002533E6" w:rsidRDefault="000C443C" w:rsidP="00F745BD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Determining each unit’s eligibility to vote, following the community’s Bylaws. NOTE: The DUCIOA does not permit suspension of voting rights for owners delinquent in pay</w:t>
      </w:r>
      <w:r w:rsidR="00555EF5" w:rsidRPr="002533E6">
        <w:rPr>
          <w:sz w:val="28"/>
          <w:szCs w:val="28"/>
        </w:rPr>
        <w:t>ing</w:t>
      </w:r>
      <w:r w:rsidRPr="002533E6">
        <w:rPr>
          <w:sz w:val="28"/>
          <w:szCs w:val="28"/>
        </w:rPr>
        <w:t xml:space="preserve"> their annual assessments. </w:t>
      </w:r>
      <w:hyperlink r:id="rId12" w:history="1">
        <w:proofErr w:type="gramStart"/>
        <w:r w:rsidRPr="00B15C2B">
          <w:rPr>
            <w:rStyle w:val="Hyperlink"/>
            <w:sz w:val="28"/>
            <w:szCs w:val="28"/>
          </w:rPr>
          <w:t>25</w:t>
        </w:r>
        <w:proofErr w:type="gramEnd"/>
        <w:r w:rsidRPr="00B15C2B">
          <w:rPr>
            <w:rStyle w:val="Hyperlink"/>
            <w:sz w:val="28"/>
            <w:szCs w:val="28"/>
          </w:rPr>
          <w:t xml:space="preserve"> </w:t>
        </w:r>
        <w:r w:rsidRPr="00B15C2B">
          <w:rPr>
            <w:rStyle w:val="Hyperlink"/>
            <w:i/>
            <w:sz w:val="28"/>
            <w:szCs w:val="28"/>
          </w:rPr>
          <w:t>Del. C.</w:t>
        </w:r>
        <w:r w:rsidRPr="00B15C2B">
          <w:rPr>
            <w:rStyle w:val="Hyperlink"/>
            <w:sz w:val="28"/>
            <w:szCs w:val="28"/>
          </w:rPr>
          <w:t xml:space="preserve"> §</w:t>
        </w:r>
        <w:r w:rsidR="00555EF5" w:rsidRPr="00B15C2B">
          <w:rPr>
            <w:rStyle w:val="Hyperlink"/>
            <w:sz w:val="28"/>
            <w:szCs w:val="28"/>
          </w:rPr>
          <w:t xml:space="preserve"> </w:t>
        </w:r>
        <w:r w:rsidRPr="00B15C2B">
          <w:rPr>
            <w:rStyle w:val="Hyperlink"/>
            <w:sz w:val="28"/>
            <w:szCs w:val="28"/>
          </w:rPr>
          <w:t>81-302 (11)</w:t>
        </w:r>
      </w:hyperlink>
      <w:r w:rsidRPr="002533E6">
        <w:rPr>
          <w:sz w:val="28"/>
          <w:szCs w:val="28"/>
        </w:rPr>
        <w:t xml:space="preserve">. This applies to communities created or approved </w:t>
      </w:r>
      <w:r w:rsidRPr="002533E6">
        <w:rPr>
          <w:sz w:val="28"/>
          <w:szCs w:val="28"/>
          <w:u w:val="single"/>
        </w:rPr>
        <w:t>both before and after</w:t>
      </w:r>
      <w:r w:rsidRPr="002533E6">
        <w:rPr>
          <w:sz w:val="28"/>
          <w:szCs w:val="28"/>
        </w:rPr>
        <w:t xml:space="preserve"> September 30, 2009. </w:t>
      </w:r>
      <w:proofErr w:type="gramStart"/>
      <w:r w:rsidR="00900F65" w:rsidRPr="002533E6">
        <w:rPr>
          <w:sz w:val="28"/>
          <w:szCs w:val="28"/>
        </w:rPr>
        <w:t>25</w:t>
      </w:r>
      <w:proofErr w:type="gramEnd"/>
      <w:r w:rsidR="00900F65" w:rsidRPr="002533E6">
        <w:rPr>
          <w:sz w:val="28"/>
          <w:szCs w:val="28"/>
        </w:rPr>
        <w:t xml:space="preserve"> </w:t>
      </w:r>
      <w:r w:rsidR="00900F65" w:rsidRPr="002533E6">
        <w:rPr>
          <w:i/>
          <w:sz w:val="28"/>
          <w:szCs w:val="28"/>
        </w:rPr>
        <w:t>Del. C</w:t>
      </w:r>
      <w:r w:rsidR="00900F65" w:rsidRPr="002533E6">
        <w:rPr>
          <w:sz w:val="28"/>
          <w:szCs w:val="28"/>
        </w:rPr>
        <w:t xml:space="preserve">. §81-119; 81-302 (a) (11). </w:t>
      </w:r>
    </w:p>
    <w:p w:rsid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EC3F41" w:rsidRPr="002533E6" w:rsidRDefault="00EC3F41" w:rsidP="00F745BD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Determining the percentage of ownership or voting power, if </w:t>
      </w:r>
      <w:r w:rsidR="000E28E6" w:rsidRPr="002533E6">
        <w:rPr>
          <w:sz w:val="28"/>
          <w:szCs w:val="28"/>
        </w:rPr>
        <w:t>other</w:t>
      </w:r>
      <w:r w:rsidRPr="002533E6">
        <w:rPr>
          <w:sz w:val="28"/>
          <w:szCs w:val="28"/>
        </w:rPr>
        <w:t xml:space="preserve"> than </w:t>
      </w:r>
      <w:proofErr w:type="gramStart"/>
      <w:r w:rsidRPr="002533E6">
        <w:rPr>
          <w:sz w:val="28"/>
          <w:szCs w:val="28"/>
        </w:rPr>
        <w:t>1</w:t>
      </w:r>
      <w:proofErr w:type="gramEnd"/>
      <w:r w:rsidRPr="002533E6">
        <w:rPr>
          <w:sz w:val="28"/>
          <w:szCs w:val="28"/>
        </w:rPr>
        <w:t xml:space="preserve"> vote per unit, as in certain condominiums.</w:t>
      </w:r>
    </w:p>
    <w:p w:rsid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7234F7" w:rsidRPr="002533E6" w:rsidRDefault="007234F7" w:rsidP="00F745BD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A draft Ballot with positions and terms identified.</w:t>
      </w:r>
    </w:p>
    <w:p w:rsid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0C443C" w:rsidRPr="002533E6" w:rsidRDefault="000C443C" w:rsidP="00F745BD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Prepar</w:t>
      </w:r>
      <w:r w:rsidR="00DE1A48" w:rsidRPr="002533E6">
        <w:rPr>
          <w:sz w:val="28"/>
          <w:szCs w:val="28"/>
        </w:rPr>
        <w:t>ing</w:t>
      </w:r>
      <w:r w:rsidRPr="002533E6">
        <w:rPr>
          <w:sz w:val="28"/>
          <w:szCs w:val="28"/>
        </w:rPr>
        <w:t xml:space="preserve"> any ballot questions</w:t>
      </w:r>
      <w:r w:rsidR="00DE1A48" w:rsidRPr="002533E6">
        <w:rPr>
          <w:sz w:val="28"/>
          <w:szCs w:val="28"/>
        </w:rPr>
        <w:t>.</w:t>
      </w:r>
    </w:p>
    <w:p w:rsid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DE1A48" w:rsidRPr="002533E6" w:rsidRDefault="00DE1A48" w:rsidP="00F745BD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Providing the names and any information about the candidates</w:t>
      </w:r>
      <w:r w:rsidR="000E7303" w:rsidRPr="002533E6">
        <w:rPr>
          <w:sz w:val="28"/>
          <w:szCs w:val="28"/>
        </w:rPr>
        <w:t xml:space="preserve"> and eligible voters</w:t>
      </w:r>
      <w:r w:rsidRPr="002533E6">
        <w:rPr>
          <w:sz w:val="28"/>
          <w:szCs w:val="28"/>
        </w:rPr>
        <w:t>.</w:t>
      </w:r>
    </w:p>
    <w:p w:rsidR="0010454E" w:rsidRPr="002533E6" w:rsidRDefault="0010454E" w:rsidP="00F745BD">
      <w:pPr>
        <w:pStyle w:val="ListParagraph"/>
        <w:numPr>
          <w:ilvl w:val="0"/>
          <w:numId w:val="2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Identifying a contact person for</w:t>
      </w:r>
      <w:r w:rsidR="00555EF5" w:rsidRPr="002533E6">
        <w:rPr>
          <w:sz w:val="28"/>
          <w:szCs w:val="28"/>
        </w:rPr>
        <w:t xml:space="preserve"> the </w:t>
      </w:r>
      <w:r w:rsidRPr="002533E6">
        <w:rPr>
          <w:sz w:val="28"/>
          <w:szCs w:val="28"/>
        </w:rPr>
        <w:t>community.</w:t>
      </w:r>
    </w:p>
    <w:p w:rsidR="0091015B" w:rsidRPr="002533E6" w:rsidRDefault="0091015B" w:rsidP="00F745BD">
      <w:p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The Association must apply to the </w:t>
      </w:r>
      <w:r w:rsidR="000C443C" w:rsidRPr="002533E6">
        <w:rPr>
          <w:sz w:val="28"/>
          <w:szCs w:val="28"/>
        </w:rPr>
        <w:t xml:space="preserve">Office </w:t>
      </w:r>
      <w:r w:rsidRPr="002533E6">
        <w:rPr>
          <w:sz w:val="28"/>
          <w:szCs w:val="28"/>
        </w:rPr>
        <w:t xml:space="preserve">of the Ombudsperson </w:t>
      </w:r>
      <w:r w:rsidRPr="002533E6">
        <w:rPr>
          <w:i/>
          <w:sz w:val="28"/>
          <w:szCs w:val="28"/>
        </w:rPr>
        <w:t>at least</w:t>
      </w:r>
      <w:r w:rsidRPr="002533E6">
        <w:rPr>
          <w:sz w:val="28"/>
          <w:szCs w:val="28"/>
        </w:rPr>
        <w:t xml:space="preserve"> one month </w:t>
      </w:r>
      <w:r w:rsidR="005E055F" w:rsidRPr="002533E6">
        <w:rPr>
          <w:sz w:val="28"/>
          <w:szCs w:val="28"/>
        </w:rPr>
        <w:t xml:space="preserve">before </w:t>
      </w:r>
      <w:r w:rsidRPr="002533E6">
        <w:rPr>
          <w:sz w:val="28"/>
          <w:szCs w:val="28"/>
        </w:rPr>
        <w:t>the election.</w:t>
      </w:r>
    </w:p>
    <w:p w:rsidR="00B82776" w:rsidRPr="002533E6" w:rsidRDefault="00B82776" w:rsidP="00F745BD">
      <w:pPr>
        <w:ind w:left="990"/>
        <w:rPr>
          <w:b/>
          <w:sz w:val="28"/>
          <w:szCs w:val="28"/>
        </w:rPr>
      </w:pPr>
      <w:r w:rsidRPr="002533E6">
        <w:rPr>
          <w:b/>
          <w:sz w:val="28"/>
          <w:szCs w:val="28"/>
        </w:rPr>
        <w:t>The Association must supply:</w:t>
      </w:r>
    </w:p>
    <w:p w:rsidR="000D3A59" w:rsidRPr="002533E6" w:rsidRDefault="000C443C" w:rsidP="00F745BD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2533E6">
        <w:rPr>
          <w:b/>
          <w:sz w:val="28"/>
          <w:szCs w:val="28"/>
        </w:rPr>
        <w:t>Governing Documents:</w:t>
      </w:r>
      <w:r w:rsidR="00B82776" w:rsidRPr="002533E6">
        <w:rPr>
          <w:sz w:val="28"/>
          <w:szCs w:val="28"/>
        </w:rPr>
        <w:t xml:space="preserve"> declarations, certificate of incorporation and bylaws</w:t>
      </w:r>
      <w:r w:rsidR="000D3A59" w:rsidRPr="002533E6">
        <w:rPr>
          <w:sz w:val="28"/>
          <w:szCs w:val="28"/>
        </w:rPr>
        <w:t xml:space="preserve"> and any other document discussing election procedure for the community;</w:t>
      </w:r>
    </w:p>
    <w:p w:rsidR="002533E6" w:rsidRP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0C443C" w:rsidRPr="002533E6" w:rsidRDefault="000C443C" w:rsidP="00F745BD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2533E6">
        <w:rPr>
          <w:b/>
          <w:sz w:val="28"/>
          <w:szCs w:val="28"/>
        </w:rPr>
        <w:t>A Mailing List:</w:t>
      </w:r>
      <w:r w:rsidR="000D3A59" w:rsidRPr="002533E6">
        <w:rPr>
          <w:sz w:val="28"/>
          <w:szCs w:val="28"/>
        </w:rPr>
        <w:t xml:space="preserve"> of the </w:t>
      </w:r>
      <w:r w:rsidRPr="002533E6">
        <w:rPr>
          <w:sz w:val="28"/>
          <w:szCs w:val="28"/>
        </w:rPr>
        <w:t>all eligible voters, with addresses,</w:t>
      </w:r>
      <w:r w:rsidR="000E7303" w:rsidRPr="002533E6">
        <w:rPr>
          <w:sz w:val="28"/>
          <w:szCs w:val="28"/>
        </w:rPr>
        <w:t xml:space="preserve"> and email addresses if available,</w:t>
      </w:r>
      <w:r w:rsidRPr="002533E6">
        <w:rPr>
          <w:sz w:val="28"/>
          <w:szCs w:val="28"/>
        </w:rPr>
        <w:t xml:space="preserve"> in Excel format</w:t>
      </w:r>
      <w:r w:rsidR="000D3A59" w:rsidRPr="002533E6">
        <w:rPr>
          <w:sz w:val="28"/>
          <w:szCs w:val="28"/>
        </w:rPr>
        <w:t xml:space="preserve">. </w:t>
      </w:r>
    </w:p>
    <w:p w:rsid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91015B" w:rsidRPr="002533E6" w:rsidRDefault="0091015B" w:rsidP="00F745BD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 xml:space="preserve">The </w:t>
      </w:r>
      <w:r w:rsidRPr="00B15C2B">
        <w:rPr>
          <w:b/>
          <w:sz w:val="28"/>
          <w:szCs w:val="28"/>
        </w:rPr>
        <w:t>date of the election</w:t>
      </w:r>
    </w:p>
    <w:p w:rsidR="002533E6" w:rsidRDefault="002533E6" w:rsidP="00F745BD">
      <w:pPr>
        <w:pStyle w:val="ListParagraph"/>
        <w:ind w:left="990"/>
        <w:rPr>
          <w:sz w:val="28"/>
          <w:szCs w:val="28"/>
        </w:rPr>
      </w:pPr>
    </w:p>
    <w:p w:rsidR="00B82776" w:rsidRPr="002533E6" w:rsidRDefault="007234F7" w:rsidP="00F745BD">
      <w:pPr>
        <w:pStyle w:val="ListParagraph"/>
        <w:numPr>
          <w:ilvl w:val="0"/>
          <w:numId w:val="1"/>
        </w:numPr>
        <w:ind w:left="990"/>
        <w:rPr>
          <w:sz w:val="28"/>
          <w:szCs w:val="28"/>
        </w:rPr>
      </w:pPr>
      <w:r w:rsidRPr="002533E6">
        <w:rPr>
          <w:sz w:val="28"/>
          <w:szCs w:val="28"/>
        </w:rPr>
        <w:t>A</w:t>
      </w:r>
      <w:r w:rsidR="000C443C" w:rsidRPr="002533E6">
        <w:rPr>
          <w:sz w:val="28"/>
          <w:szCs w:val="28"/>
        </w:rPr>
        <w:t xml:space="preserve"> </w:t>
      </w:r>
      <w:r w:rsidR="000C443C" w:rsidRPr="00B15C2B">
        <w:rPr>
          <w:b/>
          <w:sz w:val="28"/>
          <w:szCs w:val="28"/>
        </w:rPr>
        <w:t>check</w:t>
      </w:r>
      <w:r w:rsidR="000C443C" w:rsidRPr="002533E6">
        <w:rPr>
          <w:sz w:val="28"/>
          <w:szCs w:val="28"/>
        </w:rPr>
        <w:t xml:space="preserve"> </w:t>
      </w:r>
      <w:r w:rsidRPr="002533E6">
        <w:rPr>
          <w:sz w:val="28"/>
          <w:szCs w:val="28"/>
        </w:rPr>
        <w:t xml:space="preserve">payable </w:t>
      </w:r>
      <w:r w:rsidR="000C443C" w:rsidRPr="002533E6">
        <w:rPr>
          <w:sz w:val="28"/>
          <w:szCs w:val="28"/>
        </w:rPr>
        <w:t>to the Office of the Ombudsman upon re</w:t>
      </w:r>
      <w:r w:rsidR="00EC3F41" w:rsidRPr="002533E6">
        <w:rPr>
          <w:sz w:val="28"/>
          <w:szCs w:val="28"/>
        </w:rPr>
        <w:t>ceipt of the estimate from the Department of E</w:t>
      </w:r>
      <w:r w:rsidR="000C443C" w:rsidRPr="002533E6">
        <w:rPr>
          <w:sz w:val="28"/>
          <w:szCs w:val="28"/>
        </w:rPr>
        <w:t>lections.</w:t>
      </w:r>
    </w:p>
    <w:p w:rsidR="0069258D" w:rsidRPr="002533E6" w:rsidRDefault="0069258D" w:rsidP="00F745BD">
      <w:pPr>
        <w:ind w:left="990"/>
        <w:rPr>
          <w:sz w:val="28"/>
          <w:szCs w:val="28"/>
        </w:rPr>
      </w:pPr>
    </w:p>
    <w:sectPr w:rsidR="0069258D" w:rsidRPr="002533E6" w:rsidSect="00F74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FE61B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6A000C8"/>
    <w:multiLevelType w:val="hybridMultilevel"/>
    <w:tmpl w:val="367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22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7D5ECF-7EA5-40B8-8299-7680D386F5D2}"/>
    <w:docVar w:name="dgnword-eventsink" w:val="2597626004912"/>
  </w:docVars>
  <w:rsids>
    <w:rsidRoot w:val="00B82776"/>
    <w:rsid w:val="00083B6A"/>
    <w:rsid w:val="000C443C"/>
    <w:rsid w:val="000C6954"/>
    <w:rsid w:val="000D3A59"/>
    <w:rsid w:val="000E1050"/>
    <w:rsid w:val="000E28E6"/>
    <w:rsid w:val="000E7303"/>
    <w:rsid w:val="0010454E"/>
    <w:rsid w:val="00125119"/>
    <w:rsid w:val="001F3DB2"/>
    <w:rsid w:val="00243065"/>
    <w:rsid w:val="002533E6"/>
    <w:rsid w:val="00334DCA"/>
    <w:rsid w:val="003C1C73"/>
    <w:rsid w:val="004A51A3"/>
    <w:rsid w:val="004E0B9B"/>
    <w:rsid w:val="00555EF5"/>
    <w:rsid w:val="005E055F"/>
    <w:rsid w:val="00664017"/>
    <w:rsid w:val="0069258D"/>
    <w:rsid w:val="006B20FD"/>
    <w:rsid w:val="006F53D7"/>
    <w:rsid w:val="007234F7"/>
    <w:rsid w:val="00761AA1"/>
    <w:rsid w:val="00846285"/>
    <w:rsid w:val="00900F65"/>
    <w:rsid w:val="0091015B"/>
    <w:rsid w:val="0096028F"/>
    <w:rsid w:val="0099364E"/>
    <w:rsid w:val="009A44B4"/>
    <w:rsid w:val="00A110EC"/>
    <w:rsid w:val="00A84446"/>
    <w:rsid w:val="00A954AC"/>
    <w:rsid w:val="00B15C2B"/>
    <w:rsid w:val="00B82776"/>
    <w:rsid w:val="00CB79BE"/>
    <w:rsid w:val="00CD14F5"/>
    <w:rsid w:val="00CE1610"/>
    <w:rsid w:val="00CE22AC"/>
    <w:rsid w:val="00D1316C"/>
    <w:rsid w:val="00DE1A48"/>
    <w:rsid w:val="00E11B98"/>
    <w:rsid w:val="00EC3F41"/>
    <w:rsid w:val="00F7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3E77"/>
  <w15:docId w15:val="{03C1228C-D3F0-4084-B38F-82B5DB40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E0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1C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D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by%20Board%20of%20Director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Election%20Services%20Petition.docx" TargetMode="External"/><Relationship Id="rId12" Type="http://schemas.openxmlformats.org/officeDocument/2006/relationships/hyperlink" Target="https://attorneygeneral.delaware.gov/wp-content/uploads/sites/50/2017/03/DUCIOA_wLinks2Sec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orneygeneral.delaware.gov/wp-content/uploads/sites/50/2017/03/CIC_Ombudsman_Act.pdf" TargetMode="External"/><Relationship Id="rId11" Type="http://schemas.openxmlformats.org/officeDocument/2006/relationships/hyperlink" Target="https://attorneygeneral.delaware.gov/wp-content/uploads/sites/50/2017/03/CIC_Complaint_Form_V_Fillable_new.pdf" TargetMode="External"/><Relationship Id="rId5" Type="http://schemas.openxmlformats.org/officeDocument/2006/relationships/hyperlink" Target="https://attorneygeneral.delaware.gov/wp-content/uploads/sites/50/2017/03/CIC_Ombudsman_Act.pdf" TargetMode="External"/><Relationship Id="rId10" Type="http://schemas.openxmlformats.org/officeDocument/2006/relationships/hyperlink" Target="DOE%20Election%20Agree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rmation%20%20for%20Common%20Interest%20Community%20Election%20Services%20v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christopher.curtin</dc:creator>
  <cp:lastModifiedBy>Curtin, Christopher J (DOJ)</cp:lastModifiedBy>
  <cp:revision>18</cp:revision>
  <cp:lastPrinted>2018-11-07T21:42:00Z</cp:lastPrinted>
  <dcterms:created xsi:type="dcterms:W3CDTF">2015-10-02T14:59:00Z</dcterms:created>
  <dcterms:modified xsi:type="dcterms:W3CDTF">2018-11-07T21:53:00Z</dcterms:modified>
</cp:coreProperties>
</file>